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E2" w:rsidRPr="005F53A1" w:rsidRDefault="005F53A1" w:rsidP="005F53A1">
      <w:pPr>
        <w:jc w:val="center"/>
        <w:rPr>
          <w:rFonts w:ascii="ＭＳ 明朝" w:eastAsia="ＭＳ 明朝" w:hAnsi="ＭＳ 明朝"/>
          <w:sz w:val="36"/>
          <w:szCs w:val="36"/>
        </w:rPr>
      </w:pPr>
      <w:r w:rsidRPr="005F53A1">
        <w:rPr>
          <w:rFonts w:ascii="ＭＳ 明朝" w:eastAsia="ＭＳ 明朝" w:hAnsi="ＭＳ 明朝" w:hint="eastAsia"/>
          <w:sz w:val="36"/>
          <w:szCs w:val="36"/>
        </w:rPr>
        <w:t>都市計画の案の理由書</w:t>
      </w:r>
      <w:r w:rsidR="00477158">
        <w:rPr>
          <w:rFonts w:ascii="ＭＳ 明朝" w:eastAsia="ＭＳ 明朝" w:hAnsi="ＭＳ 明朝" w:hint="eastAsia"/>
          <w:sz w:val="36"/>
          <w:szCs w:val="36"/>
        </w:rPr>
        <w:t>（変更）（原案）</w:t>
      </w:r>
    </w:p>
    <w:p w:rsidR="005F53A1" w:rsidRPr="005F53A1" w:rsidRDefault="005F53A1">
      <w:pPr>
        <w:rPr>
          <w:rFonts w:ascii="ＭＳ 明朝" w:eastAsia="ＭＳ 明朝" w:hAnsi="ＭＳ 明朝"/>
          <w:sz w:val="24"/>
          <w:szCs w:val="24"/>
        </w:rPr>
      </w:pPr>
    </w:p>
    <w:p w:rsidR="005F53A1" w:rsidRPr="005F53A1" w:rsidRDefault="00D62B02" w:rsidP="005F53A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小平都</w:t>
      </w:r>
      <w:r w:rsidR="003E1DDF">
        <w:rPr>
          <w:rFonts w:ascii="ＭＳ 明朝" w:eastAsia="ＭＳ 明朝" w:hAnsi="ＭＳ 明朝" w:hint="eastAsia"/>
          <w:sz w:val="24"/>
          <w:szCs w:val="24"/>
        </w:rPr>
        <w:t>市計画</w:t>
      </w:r>
      <w:r w:rsidR="00BC0AF0" w:rsidRPr="00080DE1">
        <w:rPr>
          <w:rFonts w:ascii="ＭＳ 明朝" w:eastAsia="ＭＳ 明朝" w:hAnsi="ＭＳ 明朝" w:hint="eastAsia"/>
          <w:sz w:val="24"/>
          <w:szCs w:val="24"/>
        </w:rPr>
        <w:t>ごみ焼却場</w:t>
      </w:r>
    </w:p>
    <w:p w:rsidR="005F53A1" w:rsidRPr="005F53A1" w:rsidRDefault="009C2C60" w:rsidP="00B1190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BC0AF0">
        <w:rPr>
          <w:rFonts w:ascii="ＭＳ 明朝" w:eastAsia="ＭＳ 明朝" w:hAnsi="ＭＳ 明朝" w:hint="eastAsia"/>
          <w:sz w:val="24"/>
          <w:szCs w:val="24"/>
        </w:rPr>
        <w:t>１</w:t>
      </w:r>
      <w:r w:rsidR="005F53A1" w:rsidRPr="005F53A1">
        <w:rPr>
          <w:rFonts w:ascii="ＭＳ 明朝" w:eastAsia="ＭＳ 明朝" w:hAnsi="ＭＳ 明朝" w:hint="eastAsia"/>
          <w:sz w:val="24"/>
          <w:szCs w:val="24"/>
        </w:rPr>
        <w:t>号　小平・村山・大和衛生組合</w:t>
      </w:r>
      <w:r>
        <w:rPr>
          <w:rFonts w:ascii="ＭＳ 明朝" w:eastAsia="ＭＳ 明朝" w:hAnsi="ＭＳ 明朝" w:hint="eastAsia"/>
          <w:sz w:val="24"/>
          <w:szCs w:val="24"/>
        </w:rPr>
        <w:t>ごみ</w:t>
      </w:r>
      <w:r w:rsidR="00D62B02">
        <w:rPr>
          <w:rFonts w:ascii="ＭＳ 明朝" w:eastAsia="ＭＳ 明朝" w:hAnsi="ＭＳ 明朝" w:hint="eastAsia"/>
          <w:sz w:val="24"/>
          <w:szCs w:val="24"/>
        </w:rPr>
        <w:t>焼却場</w:t>
      </w:r>
    </w:p>
    <w:p w:rsidR="005F53A1" w:rsidRPr="005F53A1" w:rsidRDefault="005F53A1" w:rsidP="005F53A1">
      <w:pPr>
        <w:rPr>
          <w:rFonts w:ascii="ＭＳ 明朝" w:eastAsia="ＭＳ 明朝" w:hAnsi="ＭＳ 明朝"/>
          <w:sz w:val="24"/>
          <w:szCs w:val="24"/>
        </w:rPr>
      </w:pPr>
    </w:p>
    <w:p w:rsidR="005F53A1" w:rsidRDefault="005F53A1" w:rsidP="005F53A1">
      <w:pPr>
        <w:rPr>
          <w:rFonts w:ascii="ＭＳ 明朝" w:eastAsia="ＭＳ 明朝" w:hAnsi="ＭＳ 明朝"/>
          <w:sz w:val="24"/>
          <w:szCs w:val="24"/>
        </w:rPr>
      </w:pPr>
      <w:r w:rsidRPr="005F53A1">
        <w:rPr>
          <w:rFonts w:ascii="ＭＳ 明朝" w:eastAsia="ＭＳ 明朝" w:hAnsi="ＭＳ 明朝" w:hint="eastAsia"/>
          <w:sz w:val="24"/>
          <w:szCs w:val="24"/>
        </w:rPr>
        <w:t>１　種類・名称</w:t>
      </w:r>
    </w:p>
    <w:p w:rsidR="005F53A1" w:rsidRPr="005F53A1" w:rsidRDefault="005F53A1" w:rsidP="005F53A1">
      <w:pPr>
        <w:rPr>
          <w:rFonts w:ascii="ＭＳ 明朝" w:eastAsia="ＭＳ 明朝" w:hAnsi="ＭＳ 明朝"/>
          <w:sz w:val="24"/>
          <w:szCs w:val="24"/>
        </w:rPr>
      </w:pPr>
      <w:r w:rsidRPr="005F53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31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F53A1">
        <w:rPr>
          <w:rFonts w:ascii="ＭＳ 明朝" w:eastAsia="ＭＳ 明朝" w:hAnsi="ＭＳ 明朝" w:hint="eastAsia"/>
          <w:sz w:val="24"/>
          <w:szCs w:val="24"/>
        </w:rPr>
        <w:t>種類：</w:t>
      </w:r>
      <w:r w:rsidR="00B1190F">
        <w:rPr>
          <w:rFonts w:ascii="ＭＳ 明朝" w:eastAsia="ＭＳ 明朝" w:hAnsi="ＭＳ 明朝" w:hint="eastAsia"/>
          <w:sz w:val="24"/>
          <w:szCs w:val="24"/>
        </w:rPr>
        <w:t>ごみ焼却場</w:t>
      </w:r>
    </w:p>
    <w:p w:rsidR="005F53A1" w:rsidRPr="005F53A1" w:rsidRDefault="005F53A1" w:rsidP="005F53A1">
      <w:pPr>
        <w:rPr>
          <w:rFonts w:ascii="ＭＳ 明朝" w:eastAsia="ＭＳ 明朝" w:hAnsi="ＭＳ 明朝"/>
          <w:sz w:val="24"/>
          <w:szCs w:val="24"/>
        </w:rPr>
      </w:pPr>
      <w:r w:rsidRPr="005F53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31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F53A1">
        <w:rPr>
          <w:rFonts w:ascii="ＭＳ 明朝" w:eastAsia="ＭＳ 明朝" w:hAnsi="ＭＳ 明朝" w:hint="eastAsia"/>
          <w:sz w:val="24"/>
          <w:szCs w:val="24"/>
        </w:rPr>
        <w:t>名称：小平・村山・大和衛生組合</w:t>
      </w:r>
      <w:r w:rsidR="009C2C60">
        <w:rPr>
          <w:rFonts w:ascii="ＭＳ 明朝" w:eastAsia="ＭＳ 明朝" w:hAnsi="ＭＳ 明朝" w:hint="eastAsia"/>
          <w:sz w:val="24"/>
          <w:szCs w:val="24"/>
        </w:rPr>
        <w:t>ごみ焼却</w:t>
      </w:r>
      <w:r w:rsidR="00B1190F">
        <w:rPr>
          <w:rFonts w:ascii="ＭＳ 明朝" w:eastAsia="ＭＳ 明朝" w:hAnsi="ＭＳ 明朝" w:hint="eastAsia"/>
          <w:sz w:val="24"/>
          <w:szCs w:val="24"/>
        </w:rPr>
        <w:t>場</w:t>
      </w:r>
    </w:p>
    <w:p w:rsidR="009C2C60" w:rsidRDefault="009C2C60" w:rsidP="005F53A1">
      <w:pPr>
        <w:rPr>
          <w:rFonts w:ascii="ＭＳ 明朝" w:eastAsia="ＭＳ 明朝" w:hAnsi="ＭＳ 明朝"/>
          <w:sz w:val="24"/>
          <w:szCs w:val="24"/>
        </w:rPr>
      </w:pPr>
    </w:p>
    <w:p w:rsidR="003668A9" w:rsidRDefault="003668A9" w:rsidP="005F53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変更内容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978"/>
        <w:gridCol w:w="1984"/>
        <w:gridCol w:w="1425"/>
        <w:gridCol w:w="1133"/>
        <w:gridCol w:w="2963"/>
      </w:tblGrid>
      <w:tr w:rsidR="00EA218F" w:rsidTr="00037EF7">
        <w:trPr>
          <w:trHeight w:val="291"/>
        </w:trPr>
        <w:tc>
          <w:tcPr>
            <w:tcW w:w="582" w:type="dxa"/>
            <w:vMerge w:val="restart"/>
          </w:tcPr>
          <w:p w:rsidR="00EA218F" w:rsidRPr="003668A9" w:rsidRDefault="00EA218F" w:rsidP="00EA21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vAlign w:val="center"/>
          </w:tcPr>
          <w:p w:rsidR="00EA218F" w:rsidRPr="003668A9" w:rsidRDefault="00EA218F" w:rsidP="00EA21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1425" w:type="dxa"/>
            <w:vMerge w:val="restart"/>
            <w:vAlign w:val="center"/>
          </w:tcPr>
          <w:p w:rsidR="00EA218F" w:rsidRPr="003668A9" w:rsidRDefault="00EA218F" w:rsidP="00EA21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　置</w:t>
            </w:r>
          </w:p>
        </w:tc>
        <w:tc>
          <w:tcPr>
            <w:tcW w:w="1133" w:type="dxa"/>
            <w:vMerge w:val="restart"/>
            <w:vAlign w:val="center"/>
          </w:tcPr>
          <w:p w:rsidR="00EA218F" w:rsidRPr="003668A9" w:rsidRDefault="00EA218F" w:rsidP="00EA21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　積</w:t>
            </w:r>
          </w:p>
        </w:tc>
        <w:tc>
          <w:tcPr>
            <w:tcW w:w="2963" w:type="dxa"/>
            <w:vMerge w:val="restart"/>
            <w:vAlign w:val="center"/>
          </w:tcPr>
          <w:p w:rsidR="00EA218F" w:rsidRPr="003668A9" w:rsidRDefault="00EA218F" w:rsidP="00EA21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</w:tr>
      <w:tr w:rsidR="00EA218F" w:rsidTr="00EA218F">
        <w:tc>
          <w:tcPr>
            <w:tcW w:w="582" w:type="dxa"/>
            <w:vMerge/>
          </w:tcPr>
          <w:p w:rsidR="00EA218F" w:rsidRPr="003668A9" w:rsidRDefault="00EA218F" w:rsidP="00EA21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EA218F" w:rsidRPr="003668A9" w:rsidRDefault="00EA218F" w:rsidP="00EA21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984" w:type="dxa"/>
            <w:vAlign w:val="center"/>
          </w:tcPr>
          <w:p w:rsidR="00EA218F" w:rsidRPr="003668A9" w:rsidRDefault="00EA218F" w:rsidP="00EA21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1425" w:type="dxa"/>
            <w:vMerge/>
            <w:vAlign w:val="center"/>
          </w:tcPr>
          <w:p w:rsidR="00EA218F" w:rsidRPr="003668A9" w:rsidRDefault="00EA218F" w:rsidP="00EA21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EA218F" w:rsidRPr="003668A9" w:rsidRDefault="00EA218F" w:rsidP="00EA21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3" w:type="dxa"/>
            <w:vMerge/>
            <w:vAlign w:val="center"/>
          </w:tcPr>
          <w:p w:rsidR="00EA218F" w:rsidRPr="003668A9" w:rsidRDefault="00EA218F" w:rsidP="00EA21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18F" w:rsidTr="00EA218F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EA218F" w:rsidRPr="003668A9" w:rsidRDefault="00EA218F" w:rsidP="00EA218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68A9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978" w:type="dxa"/>
            <w:vAlign w:val="center"/>
          </w:tcPr>
          <w:p w:rsidR="00EA218F" w:rsidRPr="003668A9" w:rsidRDefault="00EA218F" w:rsidP="00EA21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68A9">
              <w:rPr>
                <w:rFonts w:ascii="ＭＳ 明朝" w:eastAsia="ＭＳ 明朝" w:hAnsi="ＭＳ 明朝" w:hint="eastAsia"/>
                <w:sz w:val="24"/>
                <w:szCs w:val="24"/>
              </w:rPr>
              <w:t>第１号</w:t>
            </w:r>
          </w:p>
        </w:tc>
        <w:tc>
          <w:tcPr>
            <w:tcW w:w="1984" w:type="dxa"/>
            <w:vAlign w:val="center"/>
          </w:tcPr>
          <w:p w:rsidR="00EA218F" w:rsidRPr="003668A9" w:rsidRDefault="00EA218F" w:rsidP="00EA21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68A9">
              <w:rPr>
                <w:rFonts w:ascii="ＭＳ 明朝" w:eastAsia="ＭＳ 明朝" w:hAnsi="ＭＳ 明朝" w:hint="eastAsia"/>
                <w:sz w:val="24"/>
                <w:szCs w:val="24"/>
              </w:rPr>
              <w:t>小平・村山・大和衛生組合</w:t>
            </w:r>
          </w:p>
          <w:p w:rsidR="00EA218F" w:rsidRPr="003668A9" w:rsidRDefault="00EA218F" w:rsidP="00EA21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68A9">
              <w:rPr>
                <w:rFonts w:ascii="ＭＳ 明朝" w:eastAsia="ＭＳ 明朝" w:hAnsi="ＭＳ 明朝" w:hint="eastAsia"/>
                <w:sz w:val="24"/>
                <w:szCs w:val="24"/>
              </w:rPr>
              <w:t>ごみ焼却</w:t>
            </w:r>
            <w:r w:rsidR="002D36F9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bookmarkStart w:id="0" w:name="_GoBack"/>
            <w:bookmarkEnd w:id="0"/>
          </w:p>
        </w:tc>
        <w:tc>
          <w:tcPr>
            <w:tcW w:w="1425" w:type="dxa"/>
            <w:vAlign w:val="center"/>
          </w:tcPr>
          <w:p w:rsidR="00EA218F" w:rsidRDefault="00EA218F" w:rsidP="00EA21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68A9">
              <w:rPr>
                <w:rFonts w:ascii="ＭＳ 明朝" w:eastAsia="ＭＳ 明朝" w:hAnsi="ＭＳ 明朝" w:hint="eastAsia"/>
                <w:sz w:val="24"/>
                <w:szCs w:val="24"/>
              </w:rPr>
              <w:t>小平市</w:t>
            </w:r>
          </w:p>
          <w:p w:rsidR="00EA218F" w:rsidRPr="003668A9" w:rsidRDefault="00EA218F" w:rsidP="00EA21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68A9">
              <w:rPr>
                <w:rFonts w:ascii="ＭＳ 明朝" w:eastAsia="ＭＳ 明朝" w:hAnsi="ＭＳ 明朝" w:hint="eastAsia"/>
                <w:sz w:val="24"/>
                <w:szCs w:val="24"/>
              </w:rPr>
              <w:t>中島町地内</w:t>
            </w:r>
          </w:p>
        </w:tc>
        <w:tc>
          <w:tcPr>
            <w:tcW w:w="1133" w:type="dxa"/>
            <w:vAlign w:val="center"/>
          </w:tcPr>
          <w:p w:rsidR="00EA218F" w:rsidRDefault="00EA218F" w:rsidP="00EA21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約</w:t>
            </w:r>
          </w:p>
          <w:p w:rsidR="00EA218F" w:rsidRPr="003668A9" w:rsidRDefault="00EA218F" w:rsidP="00EA21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２．０ha</w:t>
            </w:r>
          </w:p>
        </w:tc>
        <w:tc>
          <w:tcPr>
            <w:tcW w:w="2963" w:type="dxa"/>
          </w:tcPr>
          <w:p w:rsidR="00EA218F" w:rsidRDefault="00EA218F" w:rsidP="00EA21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処理能力</w:t>
            </w:r>
          </w:p>
          <w:p w:rsidR="00EA218F" w:rsidRDefault="00EA218F" w:rsidP="00EA218F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ごみ焼却施設</w:t>
            </w:r>
          </w:p>
          <w:p w:rsidR="00EA218F" w:rsidRPr="003668A9" w:rsidRDefault="00EA218F" w:rsidP="00EA21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３６０ｔ／日</w:t>
            </w:r>
          </w:p>
        </w:tc>
      </w:tr>
      <w:tr w:rsidR="00EA218F" w:rsidTr="00EA218F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EA218F" w:rsidRPr="003668A9" w:rsidRDefault="00EA218F" w:rsidP="00EA218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68A9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978" w:type="dxa"/>
            <w:vAlign w:val="center"/>
          </w:tcPr>
          <w:p w:rsidR="00EA218F" w:rsidRPr="003668A9" w:rsidRDefault="00EA218F" w:rsidP="00EA21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68A9">
              <w:rPr>
                <w:rFonts w:ascii="ＭＳ 明朝" w:eastAsia="ＭＳ 明朝" w:hAnsi="ＭＳ 明朝" w:hint="eastAsia"/>
                <w:sz w:val="24"/>
                <w:szCs w:val="24"/>
              </w:rPr>
              <w:t>同上</w:t>
            </w:r>
          </w:p>
        </w:tc>
        <w:tc>
          <w:tcPr>
            <w:tcW w:w="1984" w:type="dxa"/>
            <w:vAlign w:val="center"/>
          </w:tcPr>
          <w:p w:rsidR="00EA218F" w:rsidRPr="003668A9" w:rsidRDefault="00EA218F" w:rsidP="00EA21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同上</w:t>
            </w:r>
          </w:p>
        </w:tc>
        <w:tc>
          <w:tcPr>
            <w:tcW w:w="1425" w:type="dxa"/>
            <w:vAlign w:val="center"/>
          </w:tcPr>
          <w:p w:rsidR="00EA218F" w:rsidRPr="003668A9" w:rsidRDefault="00EA218F" w:rsidP="00D36D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同上</w:t>
            </w:r>
          </w:p>
        </w:tc>
        <w:tc>
          <w:tcPr>
            <w:tcW w:w="1133" w:type="dxa"/>
            <w:vAlign w:val="center"/>
          </w:tcPr>
          <w:p w:rsidR="00EA218F" w:rsidRPr="003668A9" w:rsidRDefault="00EA218F" w:rsidP="00D36D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同上</w:t>
            </w:r>
          </w:p>
        </w:tc>
        <w:tc>
          <w:tcPr>
            <w:tcW w:w="2963" w:type="dxa"/>
          </w:tcPr>
          <w:p w:rsidR="00EA218F" w:rsidRDefault="00EA218F" w:rsidP="00EA21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処理能力</w:t>
            </w:r>
          </w:p>
          <w:p w:rsidR="00EA218F" w:rsidRDefault="00EA218F" w:rsidP="00EA218F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ごみ焼却施設</w:t>
            </w:r>
          </w:p>
          <w:p w:rsidR="00EA218F" w:rsidRDefault="00EA218F" w:rsidP="00EA21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３６０ｔ／日</w:t>
            </w:r>
          </w:p>
          <w:p w:rsidR="00EA218F" w:rsidRDefault="00EA218F" w:rsidP="00EA218F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不燃・粗大ごみ処理施設</w:t>
            </w:r>
          </w:p>
          <w:p w:rsidR="00EA218F" w:rsidRPr="003668A9" w:rsidRDefault="00EA218F" w:rsidP="00EA218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２８ｔ／日</w:t>
            </w:r>
          </w:p>
        </w:tc>
      </w:tr>
    </w:tbl>
    <w:p w:rsidR="003668A9" w:rsidRPr="005F53A1" w:rsidRDefault="003668A9" w:rsidP="005F53A1">
      <w:pPr>
        <w:rPr>
          <w:rFonts w:ascii="ＭＳ 明朝" w:eastAsia="ＭＳ 明朝" w:hAnsi="ＭＳ 明朝"/>
          <w:sz w:val="24"/>
          <w:szCs w:val="24"/>
        </w:rPr>
      </w:pPr>
    </w:p>
    <w:p w:rsidR="005F53A1" w:rsidRDefault="00F01F61" w:rsidP="005F53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5F53A1" w:rsidRPr="005F53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53A1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5F53A1" w:rsidRPr="005F53A1" w:rsidRDefault="005F53A1" w:rsidP="005F53A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F53A1">
        <w:rPr>
          <w:rFonts w:ascii="ＭＳ 明朝" w:eastAsia="ＭＳ 明朝" w:hAnsi="ＭＳ 明朝" w:hint="eastAsia"/>
          <w:sz w:val="24"/>
          <w:szCs w:val="24"/>
        </w:rPr>
        <w:t>将来像における位置付け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D35CDE" w:rsidRPr="00D35CDE" w:rsidRDefault="004656BD" w:rsidP="00D35CDE">
      <w:pPr>
        <w:pStyle w:val="a3"/>
        <w:ind w:leftChars="0" w:left="709" w:firstLineChars="100" w:firstLine="240"/>
        <w:rPr>
          <w:rFonts w:ascii="ＭＳ 明朝" w:eastAsia="ＭＳ 明朝" w:hAnsi="ＭＳ 明朝"/>
          <w:sz w:val="24"/>
          <w:szCs w:val="24"/>
        </w:rPr>
      </w:pPr>
      <w:r w:rsidRPr="005806F3">
        <w:rPr>
          <w:rFonts w:ascii="ＭＳ 明朝" w:eastAsia="ＭＳ 明朝" w:hAnsi="ＭＳ 明朝" w:hint="eastAsia"/>
          <w:sz w:val="24"/>
          <w:szCs w:val="24"/>
        </w:rPr>
        <w:t>小平・村山・大和衛生組合（以下、「組合」という。）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5806F3" w:rsidRPr="005806F3">
        <w:rPr>
          <w:rFonts w:ascii="ＭＳ 明朝" w:eastAsia="ＭＳ 明朝" w:hAnsi="ＭＳ 明朝" w:hint="eastAsia"/>
          <w:sz w:val="24"/>
          <w:szCs w:val="24"/>
        </w:rPr>
        <w:t>、小平市、東大和市及び武蔵村山市（以下、「３市」という。）</w:t>
      </w:r>
      <w:r w:rsidR="00B10BF4">
        <w:rPr>
          <w:rFonts w:ascii="ＭＳ 明朝" w:eastAsia="ＭＳ 明朝" w:hAnsi="ＭＳ 明朝" w:hint="eastAsia"/>
          <w:sz w:val="24"/>
          <w:szCs w:val="24"/>
        </w:rPr>
        <w:t>により</w:t>
      </w:r>
      <w:r>
        <w:rPr>
          <w:rFonts w:ascii="ＭＳ 明朝" w:eastAsia="ＭＳ 明朝" w:hAnsi="ＭＳ 明朝" w:hint="eastAsia"/>
          <w:sz w:val="24"/>
          <w:szCs w:val="24"/>
        </w:rPr>
        <w:t>組織された一部事務組合で、３市地域から排出される一般廃棄物（</w:t>
      </w:r>
      <w:r w:rsidR="005806F3" w:rsidRPr="005806F3">
        <w:rPr>
          <w:rFonts w:ascii="ＭＳ 明朝" w:eastAsia="ＭＳ 明朝" w:hAnsi="ＭＳ 明朝" w:hint="eastAsia"/>
          <w:sz w:val="24"/>
          <w:szCs w:val="24"/>
        </w:rPr>
        <w:t>可燃ごみ、不燃ごみ及び粗大ごみ</w:t>
      </w:r>
      <w:r>
        <w:rPr>
          <w:rFonts w:ascii="ＭＳ 明朝" w:eastAsia="ＭＳ 明朝" w:hAnsi="ＭＳ 明朝" w:hint="eastAsia"/>
          <w:sz w:val="24"/>
          <w:szCs w:val="24"/>
        </w:rPr>
        <w:t>）の</w:t>
      </w:r>
      <w:r w:rsidR="005806F3" w:rsidRPr="005806F3">
        <w:rPr>
          <w:rFonts w:ascii="ＭＳ 明朝" w:eastAsia="ＭＳ 明朝" w:hAnsi="ＭＳ 明朝" w:hint="eastAsia"/>
          <w:sz w:val="24"/>
          <w:szCs w:val="24"/>
        </w:rPr>
        <w:t>処理を</w:t>
      </w:r>
      <w:r>
        <w:rPr>
          <w:rFonts w:ascii="ＭＳ 明朝" w:eastAsia="ＭＳ 明朝" w:hAnsi="ＭＳ 明朝" w:hint="eastAsia"/>
          <w:sz w:val="24"/>
          <w:szCs w:val="24"/>
        </w:rPr>
        <w:t>行っています</w:t>
      </w:r>
      <w:r w:rsidR="005806F3" w:rsidRPr="005806F3">
        <w:rPr>
          <w:rFonts w:ascii="ＭＳ 明朝" w:eastAsia="ＭＳ 明朝" w:hAnsi="ＭＳ 明朝" w:hint="eastAsia"/>
          <w:sz w:val="24"/>
          <w:szCs w:val="24"/>
        </w:rPr>
        <w:t>。</w:t>
      </w:r>
    </w:p>
    <w:p w:rsidR="001A2514" w:rsidRDefault="00E51F5A" w:rsidP="005806F3">
      <w:pPr>
        <w:pStyle w:val="a3"/>
        <w:ind w:leftChars="0" w:left="70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組合では、</w:t>
      </w:r>
      <w:r w:rsidR="00897D8E">
        <w:rPr>
          <w:rFonts w:ascii="ＭＳ 明朝" w:eastAsia="ＭＳ 明朝" w:hAnsi="ＭＳ 明朝" w:hint="eastAsia"/>
          <w:sz w:val="24"/>
          <w:szCs w:val="24"/>
        </w:rPr>
        <w:t>平成２６年９月に</w:t>
      </w:r>
      <w:r>
        <w:rPr>
          <w:rFonts w:ascii="ＭＳ 明朝" w:eastAsia="ＭＳ 明朝" w:hAnsi="ＭＳ 明朝" w:hint="eastAsia"/>
          <w:sz w:val="24"/>
          <w:szCs w:val="24"/>
        </w:rPr>
        <w:t>３市と</w:t>
      </w:r>
      <w:r w:rsidR="00217D7F">
        <w:rPr>
          <w:rFonts w:ascii="ＭＳ 明朝" w:eastAsia="ＭＳ 明朝" w:hAnsi="ＭＳ 明朝" w:hint="eastAsia"/>
          <w:sz w:val="24"/>
          <w:szCs w:val="24"/>
        </w:rPr>
        <w:t>とも</w:t>
      </w:r>
      <w:r w:rsidR="00897D8E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３市共同資源化</w:t>
      </w:r>
      <w:r w:rsidR="00D37264">
        <w:rPr>
          <w:rFonts w:ascii="ＭＳ 明朝" w:eastAsia="ＭＳ 明朝" w:hAnsi="ＭＳ 明朝" w:hint="eastAsia"/>
          <w:sz w:val="24"/>
          <w:szCs w:val="24"/>
        </w:rPr>
        <w:t>事業基本構想</w:t>
      </w:r>
      <w:r w:rsidR="00897D8E">
        <w:rPr>
          <w:rFonts w:ascii="ＭＳ 明朝" w:eastAsia="ＭＳ 明朝" w:hAnsi="ＭＳ 明朝" w:hint="eastAsia"/>
          <w:sz w:val="24"/>
          <w:szCs w:val="24"/>
        </w:rPr>
        <w:t>を策定し</w:t>
      </w:r>
      <w:r w:rsidR="00D7309B">
        <w:rPr>
          <w:rFonts w:ascii="ＭＳ 明朝" w:eastAsia="ＭＳ 明朝" w:hAnsi="ＭＳ 明朝" w:hint="eastAsia"/>
          <w:sz w:val="24"/>
          <w:szCs w:val="24"/>
        </w:rPr>
        <w:t>、不燃ごみと粗大ごみの処理について「今後も現状体制</w:t>
      </w:r>
      <w:r w:rsidR="00037EF7">
        <w:rPr>
          <w:rFonts w:ascii="ＭＳ 明朝" w:eastAsia="ＭＳ 明朝" w:hAnsi="ＭＳ 明朝" w:hint="eastAsia"/>
          <w:sz w:val="24"/>
          <w:szCs w:val="24"/>
        </w:rPr>
        <w:t>（共同処理）</w:t>
      </w:r>
      <w:r w:rsidR="00D7309B">
        <w:rPr>
          <w:rFonts w:ascii="ＭＳ 明朝" w:eastAsia="ＭＳ 明朝" w:hAnsi="ＭＳ 明朝" w:hint="eastAsia"/>
          <w:sz w:val="24"/>
          <w:szCs w:val="24"/>
        </w:rPr>
        <w:t>を維持する」「施設の老朽化・旧式化が進んでいるため、早急に施設の整備・更新の計画に着手</w:t>
      </w:r>
      <w:r w:rsidR="0032664A">
        <w:rPr>
          <w:rFonts w:ascii="ＭＳ 明朝" w:eastAsia="ＭＳ 明朝" w:hAnsi="ＭＳ 明朝" w:hint="eastAsia"/>
          <w:sz w:val="24"/>
          <w:szCs w:val="24"/>
        </w:rPr>
        <w:t>する</w:t>
      </w:r>
      <w:r w:rsidR="00D7309B">
        <w:rPr>
          <w:rFonts w:ascii="ＭＳ 明朝" w:eastAsia="ＭＳ 明朝" w:hAnsi="ＭＳ 明朝" w:hint="eastAsia"/>
          <w:sz w:val="24"/>
          <w:szCs w:val="24"/>
        </w:rPr>
        <w:t>」</w:t>
      </w:r>
      <w:r w:rsidR="00037EF7">
        <w:rPr>
          <w:rFonts w:ascii="ＭＳ 明朝" w:eastAsia="ＭＳ 明朝" w:hAnsi="ＭＳ 明朝" w:hint="eastAsia"/>
          <w:sz w:val="24"/>
          <w:szCs w:val="24"/>
        </w:rPr>
        <w:t>「粗大ごみ処理施設の更新等を行う用地は、小平市清掃事務所用地と</w:t>
      </w:r>
      <w:r w:rsidR="0032664A">
        <w:rPr>
          <w:rFonts w:ascii="ＭＳ 明朝" w:eastAsia="ＭＳ 明朝" w:hAnsi="ＭＳ 明朝" w:hint="eastAsia"/>
          <w:sz w:val="24"/>
          <w:szCs w:val="24"/>
        </w:rPr>
        <w:t>する</w:t>
      </w:r>
      <w:r w:rsidR="00037EF7">
        <w:rPr>
          <w:rFonts w:ascii="ＭＳ 明朝" w:eastAsia="ＭＳ 明朝" w:hAnsi="ＭＳ 明朝" w:hint="eastAsia"/>
          <w:sz w:val="24"/>
          <w:szCs w:val="24"/>
        </w:rPr>
        <w:t>」としています。</w:t>
      </w:r>
    </w:p>
    <w:p w:rsidR="0074353B" w:rsidRDefault="0074353B" w:rsidP="005806F3">
      <w:pPr>
        <w:pStyle w:val="a3"/>
        <w:ind w:leftChars="0" w:left="70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897D8E">
        <w:rPr>
          <w:rFonts w:ascii="ＭＳ 明朝" w:eastAsia="ＭＳ 明朝" w:hAnsi="ＭＳ 明朝" w:hint="eastAsia"/>
          <w:sz w:val="24"/>
          <w:szCs w:val="24"/>
        </w:rPr>
        <w:t>平成２８年３月に策定（平成２９年３月改訂）した</w:t>
      </w:r>
      <w:r>
        <w:rPr>
          <w:rFonts w:ascii="ＭＳ 明朝" w:eastAsia="ＭＳ 明朝" w:hAnsi="ＭＳ 明朝" w:hint="eastAsia"/>
          <w:sz w:val="24"/>
          <w:szCs w:val="24"/>
        </w:rPr>
        <w:t>（仮称）不燃・粗大ごみ処理施設整備</w:t>
      </w:r>
      <w:r w:rsidR="00897D8E">
        <w:rPr>
          <w:rFonts w:ascii="ＭＳ 明朝" w:eastAsia="ＭＳ 明朝" w:hAnsi="ＭＳ 明朝" w:hint="eastAsia"/>
          <w:sz w:val="24"/>
          <w:szCs w:val="24"/>
        </w:rPr>
        <w:t>基本計画では、</w:t>
      </w:r>
      <w:r w:rsidR="00D60A19">
        <w:rPr>
          <w:rFonts w:ascii="ＭＳ 明朝" w:eastAsia="ＭＳ 明朝" w:hAnsi="ＭＳ 明朝" w:hint="eastAsia"/>
          <w:sz w:val="24"/>
          <w:szCs w:val="24"/>
        </w:rPr>
        <w:t>「安全、安心かつ安定的に処理が可能な施設」「充実した環境保全対策により、周辺環境に配慮した施設」「景観等に配慮した地域との調和の図れる施設」「経済性に優れた施設」を施設整備基本方針</w:t>
      </w:r>
      <w:r w:rsidR="00D60A19">
        <w:rPr>
          <w:rFonts w:ascii="ＭＳ 明朝" w:eastAsia="ＭＳ 明朝" w:hAnsi="ＭＳ 明朝" w:hint="eastAsia"/>
          <w:sz w:val="24"/>
          <w:szCs w:val="24"/>
        </w:rPr>
        <w:lastRenderedPageBreak/>
        <w:t>として、施設整備を進めることとしています。</w:t>
      </w:r>
    </w:p>
    <w:p w:rsidR="00D35CDE" w:rsidRDefault="00D60A19" w:rsidP="005806F3">
      <w:pPr>
        <w:pStyle w:val="a3"/>
        <w:ind w:leftChars="0" w:left="70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あわせて</w:t>
      </w:r>
      <w:r w:rsidR="00D35CDE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平成２９年３月に策定された</w:t>
      </w:r>
      <w:r w:rsidR="00D35CDE">
        <w:rPr>
          <w:rFonts w:ascii="ＭＳ 明朝" w:eastAsia="ＭＳ 明朝" w:hAnsi="ＭＳ 明朝" w:hint="eastAsia"/>
          <w:sz w:val="24"/>
          <w:szCs w:val="24"/>
        </w:rPr>
        <w:t>小平市都市計画マスタープランにおいては、</w:t>
      </w:r>
      <w:r w:rsidR="00D37264">
        <w:rPr>
          <w:rFonts w:ascii="ＭＳ 明朝" w:eastAsia="ＭＳ 明朝" w:hAnsi="ＭＳ 明朝" w:hint="eastAsia"/>
          <w:sz w:val="24"/>
          <w:szCs w:val="24"/>
        </w:rPr>
        <w:t>「</w:t>
      </w:r>
      <w:r w:rsidR="00D35CDE">
        <w:rPr>
          <w:rFonts w:ascii="ＭＳ 明朝" w:eastAsia="ＭＳ 明朝" w:hAnsi="ＭＳ 明朝" w:hint="eastAsia"/>
          <w:sz w:val="24"/>
          <w:szCs w:val="24"/>
        </w:rPr>
        <w:t>ごみの適正処理を安定的に継続することを通じて、将来にわたって快適で衛生的に暮らせるよう、ごみ処理施設の更新を進める</w:t>
      </w:r>
      <w:r w:rsidR="00D37264">
        <w:rPr>
          <w:rFonts w:ascii="ＭＳ 明朝" w:eastAsia="ＭＳ 明朝" w:hAnsi="ＭＳ 明朝" w:hint="eastAsia"/>
          <w:sz w:val="24"/>
          <w:szCs w:val="24"/>
        </w:rPr>
        <w:t>」</w:t>
      </w:r>
      <w:r w:rsidR="00D35CDE">
        <w:rPr>
          <w:rFonts w:ascii="ＭＳ 明朝" w:eastAsia="ＭＳ 明朝" w:hAnsi="ＭＳ 明朝" w:hint="eastAsia"/>
          <w:sz w:val="24"/>
          <w:szCs w:val="24"/>
        </w:rPr>
        <w:t>としています。</w:t>
      </w:r>
    </w:p>
    <w:p w:rsidR="005806F3" w:rsidRDefault="005806F3" w:rsidP="005806F3">
      <w:pPr>
        <w:pStyle w:val="a3"/>
        <w:ind w:leftChars="0" w:left="960"/>
        <w:rPr>
          <w:rFonts w:ascii="ＭＳ 明朝" w:eastAsia="ＭＳ 明朝" w:hAnsi="ＭＳ 明朝"/>
          <w:sz w:val="24"/>
          <w:szCs w:val="24"/>
        </w:rPr>
      </w:pPr>
    </w:p>
    <w:p w:rsidR="005F53A1" w:rsidRPr="005806F3" w:rsidRDefault="005806F3" w:rsidP="005806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5F53A1" w:rsidRPr="005806F3">
        <w:rPr>
          <w:rFonts w:ascii="ＭＳ 明朝" w:eastAsia="ＭＳ 明朝" w:hAnsi="ＭＳ 明朝" w:hint="eastAsia"/>
          <w:sz w:val="24"/>
          <w:szCs w:val="24"/>
        </w:rPr>
        <w:t>当該都市計画の必要性について</w:t>
      </w:r>
    </w:p>
    <w:p w:rsidR="00E51F5A" w:rsidRDefault="00974D60" w:rsidP="007128AA">
      <w:pPr>
        <w:pStyle w:val="a3"/>
        <w:ind w:leftChars="0" w:left="70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現在</w:t>
      </w:r>
      <w:r w:rsidR="009C2C60">
        <w:rPr>
          <w:rFonts w:ascii="ＭＳ 明朝" w:eastAsia="ＭＳ 明朝" w:hAnsi="ＭＳ 明朝" w:hint="eastAsia"/>
          <w:sz w:val="24"/>
          <w:szCs w:val="24"/>
        </w:rPr>
        <w:t>、</w:t>
      </w:r>
      <w:r w:rsidR="00F55EDB">
        <w:rPr>
          <w:rFonts w:ascii="ＭＳ 明朝" w:eastAsia="ＭＳ 明朝" w:hAnsi="ＭＳ 明朝" w:hint="eastAsia"/>
          <w:sz w:val="24"/>
          <w:szCs w:val="24"/>
        </w:rPr>
        <w:t>不燃ごみ及び粗大ごみの破砕等を行っている粗大ごみ処理施設</w:t>
      </w:r>
      <w:r>
        <w:rPr>
          <w:rFonts w:ascii="ＭＳ 明朝" w:eastAsia="ＭＳ 明朝" w:hAnsi="ＭＳ 明朝" w:hint="eastAsia"/>
          <w:sz w:val="24"/>
          <w:szCs w:val="24"/>
        </w:rPr>
        <w:t>は、昭和５０年１０月に竣工（改造は平成１０年３月）し、既に竣工から約４０年、改造工事から１５年以上経過しています。そのため、施設の老朽化や旧式化、環境対策等に</w:t>
      </w:r>
      <w:r w:rsidR="009C2C60">
        <w:rPr>
          <w:rFonts w:ascii="ＭＳ 明朝" w:eastAsia="ＭＳ 明朝" w:hAnsi="ＭＳ 明朝" w:hint="eastAsia"/>
          <w:sz w:val="24"/>
          <w:szCs w:val="24"/>
        </w:rPr>
        <w:t>課題</w:t>
      </w:r>
      <w:r>
        <w:rPr>
          <w:rFonts w:ascii="ＭＳ 明朝" w:eastAsia="ＭＳ 明朝" w:hAnsi="ＭＳ 明朝" w:hint="eastAsia"/>
          <w:sz w:val="24"/>
          <w:szCs w:val="24"/>
        </w:rPr>
        <w:t>が生じていることから、</w:t>
      </w:r>
      <w:r w:rsidR="00B24211">
        <w:rPr>
          <w:rFonts w:ascii="ＭＳ 明朝" w:eastAsia="ＭＳ 明朝" w:hAnsi="ＭＳ 明朝" w:hint="eastAsia"/>
          <w:sz w:val="24"/>
          <w:szCs w:val="24"/>
        </w:rPr>
        <w:t>当該</w:t>
      </w:r>
      <w:r>
        <w:rPr>
          <w:rFonts w:ascii="ＭＳ 明朝" w:eastAsia="ＭＳ 明朝" w:hAnsi="ＭＳ 明朝" w:hint="eastAsia"/>
          <w:sz w:val="24"/>
          <w:szCs w:val="24"/>
        </w:rPr>
        <w:t>施設の早急な更新（「</w:t>
      </w:r>
      <w:r w:rsidR="00D333C7">
        <w:rPr>
          <w:rFonts w:ascii="ＭＳ 明朝" w:eastAsia="ＭＳ 明朝" w:hAnsi="ＭＳ 明朝" w:hint="eastAsia"/>
          <w:sz w:val="24"/>
          <w:szCs w:val="24"/>
        </w:rPr>
        <w:t>（仮称）</w:t>
      </w:r>
      <w:r w:rsidR="00C57EFC">
        <w:rPr>
          <w:rFonts w:ascii="ＭＳ 明朝" w:eastAsia="ＭＳ 明朝" w:hAnsi="ＭＳ 明朝" w:hint="eastAsia"/>
          <w:sz w:val="24"/>
          <w:szCs w:val="24"/>
        </w:rPr>
        <w:t>不燃・粗大ごみ処理施設」の整備）が喫緊の課題となって</w:t>
      </w:r>
      <w:r w:rsidR="007128AA">
        <w:rPr>
          <w:rFonts w:ascii="ＭＳ 明朝" w:eastAsia="ＭＳ 明朝" w:hAnsi="ＭＳ 明朝" w:hint="eastAsia"/>
          <w:sz w:val="24"/>
          <w:szCs w:val="24"/>
        </w:rPr>
        <w:t>おり</w:t>
      </w:r>
      <w:r w:rsidR="007E5B04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5806F3" w:rsidRDefault="007128AA" w:rsidP="00BE4606">
      <w:pPr>
        <w:pStyle w:val="a3"/>
        <w:ind w:leftChars="0" w:left="70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本件の都市計画変更は</w:t>
      </w:r>
      <w:r w:rsidR="00E51F5A">
        <w:rPr>
          <w:rFonts w:ascii="ＭＳ 明朝" w:eastAsia="ＭＳ 明朝" w:hAnsi="ＭＳ 明朝" w:hint="eastAsia"/>
          <w:sz w:val="24"/>
          <w:szCs w:val="24"/>
        </w:rPr>
        <w:t>、現在は、組合用地と</w:t>
      </w:r>
      <w:r>
        <w:rPr>
          <w:rFonts w:ascii="ＭＳ 明朝" w:eastAsia="ＭＳ 明朝" w:hAnsi="ＭＳ 明朝" w:hint="eastAsia"/>
          <w:sz w:val="24"/>
          <w:szCs w:val="24"/>
        </w:rPr>
        <w:t>小平市</w:t>
      </w:r>
      <w:r w:rsidR="00E51F5A">
        <w:rPr>
          <w:rFonts w:ascii="ＭＳ 明朝" w:eastAsia="ＭＳ 明朝" w:hAnsi="ＭＳ 明朝" w:hint="eastAsia"/>
          <w:sz w:val="24"/>
          <w:szCs w:val="24"/>
        </w:rPr>
        <w:t>清掃事務所用地を合わせた区域についてごみ焼却場として</w:t>
      </w:r>
      <w:r w:rsidR="00D333C7">
        <w:rPr>
          <w:rFonts w:ascii="ＭＳ 明朝" w:eastAsia="ＭＳ 明朝" w:hAnsi="ＭＳ 明朝" w:hint="eastAsia"/>
          <w:sz w:val="24"/>
          <w:szCs w:val="24"/>
        </w:rPr>
        <w:t>都市計画決定</w:t>
      </w:r>
      <w:r w:rsidR="00E51F5A">
        <w:rPr>
          <w:rFonts w:ascii="ＭＳ 明朝" w:eastAsia="ＭＳ 明朝" w:hAnsi="ＭＳ 明朝" w:hint="eastAsia"/>
          <w:sz w:val="24"/>
          <w:szCs w:val="24"/>
        </w:rPr>
        <w:t>がされておりますが、（仮称）不燃・粗大ごみ処理施設</w:t>
      </w:r>
      <w:r w:rsidR="00477158">
        <w:rPr>
          <w:rFonts w:ascii="ＭＳ 明朝" w:eastAsia="ＭＳ 明朝" w:hAnsi="ＭＳ 明朝" w:hint="eastAsia"/>
          <w:sz w:val="24"/>
          <w:szCs w:val="24"/>
        </w:rPr>
        <w:t>の整備にあわせて</w:t>
      </w:r>
      <w:r w:rsidR="00E51F5A">
        <w:rPr>
          <w:rFonts w:ascii="ＭＳ 明朝" w:eastAsia="ＭＳ 明朝" w:hAnsi="ＭＳ 明朝" w:hint="eastAsia"/>
          <w:sz w:val="24"/>
          <w:szCs w:val="24"/>
        </w:rPr>
        <w:t>、その</w:t>
      </w:r>
      <w:r w:rsidR="00630A46">
        <w:rPr>
          <w:rFonts w:ascii="ＭＳ 明朝" w:eastAsia="ＭＳ 明朝" w:hAnsi="ＭＳ 明朝" w:hint="eastAsia"/>
          <w:sz w:val="24"/>
          <w:szCs w:val="24"/>
        </w:rPr>
        <w:t>処理</w:t>
      </w:r>
      <w:r w:rsidR="00E51F5A">
        <w:rPr>
          <w:rFonts w:ascii="ＭＳ 明朝" w:eastAsia="ＭＳ 明朝" w:hAnsi="ＭＳ 明朝" w:hint="eastAsia"/>
          <w:sz w:val="24"/>
          <w:szCs w:val="24"/>
        </w:rPr>
        <w:t>能力</w:t>
      </w:r>
      <w:r w:rsidR="00477158">
        <w:rPr>
          <w:rFonts w:ascii="ＭＳ 明朝" w:eastAsia="ＭＳ 明朝" w:hAnsi="ＭＳ 明朝" w:hint="eastAsia"/>
          <w:sz w:val="24"/>
          <w:szCs w:val="24"/>
        </w:rPr>
        <w:t>を追加</w:t>
      </w:r>
      <w:r w:rsidR="001E5F72">
        <w:rPr>
          <w:rFonts w:ascii="ＭＳ 明朝" w:eastAsia="ＭＳ 明朝" w:hAnsi="ＭＳ 明朝" w:hint="eastAsia"/>
          <w:sz w:val="24"/>
          <w:szCs w:val="24"/>
        </w:rPr>
        <w:t>するものです。</w:t>
      </w:r>
    </w:p>
    <w:p w:rsidR="00E51F5A" w:rsidRDefault="00E51F5A" w:rsidP="005F53A1">
      <w:pPr>
        <w:rPr>
          <w:rFonts w:ascii="ＭＳ 明朝" w:eastAsia="ＭＳ 明朝" w:hAnsi="ＭＳ 明朝"/>
          <w:sz w:val="24"/>
          <w:szCs w:val="24"/>
        </w:rPr>
      </w:pPr>
    </w:p>
    <w:p w:rsidR="00E51F5A" w:rsidRDefault="00F01F61" w:rsidP="005F53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E51F5A">
        <w:rPr>
          <w:rFonts w:ascii="ＭＳ 明朝" w:eastAsia="ＭＳ 明朝" w:hAnsi="ＭＳ 明朝" w:hint="eastAsia"/>
          <w:sz w:val="24"/>
          <w:szCs w:val="24"/>
        </w:rPr>
        <w:t xml:space="preserve">　当該都市計画の位置、区域、規模の妥当性について</w:t>
      </w:r>
    </w:p>
    <w:p w:rsidR="005F53A1" w:rsidRPr="00E51F5A" w:rsidRDefault="005F53A1" w:rsidP="00E51F5A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51F5A">
        <w:rPr>
          <w:rFonts w:ascii="ＭＳ 明朝" w:eastAsia="ＭＳ 明朝" w:hAnsi="ＭＳ 明朝" w:hint="eastAsia"/>
          <w:sz w:val="24"/>
          <w:szCs w:val="24"/>
        </w:rPr>
        <w:t>当該都市計画の位置・区域の妥当性について</w:t>
      </w:r>
    </w:p>
    <w:p w:rsidR="00197D0C" w:rsidRPr="00197D0C" w:rsidRDefault="00197D0C" w:rsidP="00197D0C">
      <w:pPr>
        <w:ind w:lef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ア　位置・区域</w:t>
      </w:r>
    </w:p>
    <w:p w:rsidR="005F53A1" w:rsidRDefault="00BE4606" w:rsidP="00BE4606">
      <w:pPr>
        <w:ind w:left="70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（仮称）不燃・粗大ごみ処理施設の事業用地の位置は、</w:t>
      </w:r>
      <w:r w:rsidR="00197D0C">
        <w:rPr>
          <w:rFonts w:ascii="ＭＳ 明朝" w:eastAsia="ＭＳ 明朝" w:hAnsi="ＭＳ 明朝" w:hint="eastAsia"/>
          <w:sz w:val="24"/>
          <w:szCs w:val="24"/>
        </w:rPr>
        <w:t>組合</w:t>
      </w:r>
      <w:r w:rsidR="0032664A">
        <w:rPr>
          <w:rFonts w:ascii="ＭＳ 明朝" w:eastAsia="ＭＳ 明朝" w:hAnsi="ＭＳ 明朝" w:hint="eastAsia"/>
          <w:sz w:val="24"/>
          <w:szCs w:val="24"/>
        </w:rPr>
        <w:t>用地</w:t>
      </w:r>
      <w:r w:rsidR="00197D0C">
        <w:rPr>
          <w:rFonts w:ascii="ＭＳ 明朝" w:eastAsia="ＭＳ 明朝" w:hAnsi="ＭＳ 明朝" w:hint="eastAsia"/>
          <w:sz w:val="24"/>
          <w:szCs w:val="24"/>
        </w:rPr>
        <w:t>に隣接し、</w:t>
      </w:r>
      <w:r>
        <w:rPr>
          <w:rFonts w:ascii="ＭＳ 明朝" w:eastAsia="ＭＳ 明朝" w:hAnsi="ＭＳ 明朝" w:hint="eastAsia"/>
          <w:sz w:val="24"/>
          <w:szCs w:val="24"/>
        </w:rPr>
        <w:t>現在</w:t>
      </w:r>
      <w:r w:rsidR="00197D0C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小平市清掃事務所として利用されています。</w:t>
      </w:r>
    </w:p>
    <w:p w:rsidR="00197D0C" w:rsidRDefault="00197D0C" w:rsidP="00BE4606">
      <w:pPr>
        <w:ind w:left="70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小平市清掃事務所を解体した跡地に整備することにより、</w:t>
      </w:r>
      <w:r w:rsidR="003F584E">
        <w:rPr>
          <w:rFonts w:ascii="ＭＳ 明朝" w:eastAsia="ＭＳ 明朝" w:hAnsi="ＭＳ 明朝" w:hint="eastAsia"/>
          <w:sz w:val="24"/>
          <w:szCs w:val="24"/>
        </w:rPr>
        <w:t>処理後の破砕残渣（不燃ごみ及び粗大ごみ</w:t>
      </w:r>
      <w:r w:rsidR="0032664A">
        <w:rPr>
          <w:rFonts w:ascii="ＭＳ 明朝" w:eastAsia="ＭＳ 明朝" w:hAnsi="ＭＳ 明朝" w:hint="eastAsia"/>
          <w:sz w:val="24"/>
          <w:szCs w:val="24"/>
        </w:rPr>
        <w:t>を</w:t>
      </w:r>
      <w:r w:rsidR="003F584E">
        <w:rPr>
          <w:rFonts w:ascii="ＭＳ 明朝" w:eastAsia="ＭＳ 明朝" w:hAnsi="ＭＳ 明朝" w:hint="eastAsia"/>
          <w:sz w:val="24"/>
          <w:szCs w:val="24"/>
        </w:rPr>
        <w:t>破砕処理し、鉄・アルミを資源化した残り）の運搬がスムーズに行えることに加え、</w:t>
      </w:r>
      <w:r>
        <w:rPr>
          <w:rFonts w:ascii="ＭＳ 明朝" w:eastAsia="ＭＳ 明朝" w:hAnsi="ＭＳ 明朝" w:hint="eastAsia"/>
          <w:sz w:val="24"/>
          <w:szCs w:val="24"/>
        </w:rPr>
        <w:t>現有の粗大ごみ処理施設を稼働させながら整備することが</w:t>
      </w:r>
      <w:r w:rsidR="009C2C60">
        <w:rPr>
          <w:rFonts w:ascii="ＭＳ 明朝" w:eastAsia="ＭＳ 明朝" w:hAnsi="ＭＳ 明朝" w:hint="eastAsia"/>
          <w:sz w:val="24"/>
          <w:szCs w:val="24"/>
        </w:rPr>
        <w:t>できます。</w:t>
      </w:r>
    </w:p>
    <w:p w:rsidR="00197D0C" w:rsidRDefault="00197D0C" w:rsidP="00197D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イ　周辺の土地利用状況</w:t>
      </w:r>
    </w:p>
    <w:p w:rsidR="00197D0C" w:rsidRDefault="00197D0C" w:rsidP="00197D0C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事業用地は、</w:t>
      </w:r>
      <w:r w:rsidR="00DA71AE">
        <w:rPr>
          <w:rFonts w:ascii="ＭＳ 明朝" w:eastAsia="ＭＳ 明朝" w:hAnsi="ＭＳ 明朝" w:hint="eastAsia"/>
          <w:sz w:val="24"/>
          <w:szCs w:val="24"/>
        </w:rPr>
        <w:t>北に</w:t>
      </w:r>
      <w:r w:rsidR="009C2C60">
        <w:rPr>
          <w:rFonts w:ascii="ＭＳ 明朝" w:eastAsia="ＭＳ 明朝" w:hAnsi="ＭＳ 明朝" w:hint="eastAsia"/>
          <w:sz w:val="24"/>
          <w:szCs w:val="24"/>
        </w:rPr>
        <w:t>西武鉄道の</w:t>
      </w:r>
      <w:r>
        <w:rPr>
          <w:rFonts w:ascii="ＭＳ 明朝" w:eastAsia="ＭＳ 明朝" w:hAnsi="ＭＳ 明朝" w:hint="eastAsia"/>
          <w:sz w:val="24"/>
          <w:szCs w:val="24"/>
        </w:rPr>
        <w:t>線路</w:t>
      </w:r>
      <w:r w:rsidR="009C2C60">
        <w:rPr>
          <w:rFonts w:ascii="ＭＳ 明朝" w:eastAsia="ＭＳ 明朝" w:hAnsi="ＭＳ 明朝" w:hint="eastAsia"/>
          <w:sz w:val="24"/>
          <w:szCs w:val="24"/>
        </w:rPr>
        <w:t>及び野火止用水散策路</w:t>
      </w:r>
      <w:r w:rsidR="00DA71AE">
        <w:rPr>
          <w:rFonts w:ascii="ＭＳ 明朝" w:eastAsia="ＭＳ 明朝" w:hAnsi="ＭＳ 明朝" w:hint="eastAsia"/>
          <w:sz w:val="24"/>
          <w:szCs w:val="24"/>
        </w:rPr>
        <w:t>、南に</w:t>
      </w:r>
      <w:r w:rsidR="009C2C60">
        <w:rPr>
          <w:rFonts w:ascii="ＭＳ 明朝" w:eastAsia="ＭＳ 明朝" w:hAnsi="ＭＳ 明朝" w:hint="eastAsia"/>
          <w:sz w:val="24"/>
          <w:szCs w:val="24"/>
        </w:rPr>
        <w:t>玉川上水</w:t>
      </w:r>
      <w:r w:rsidR="00DA71AE">
        <w:rPr>
          <w:rFonts w:ascii="ＭＳ 明朝" w:eastAsia="ＭＳ 明朝" w:hAnsi="ＭＳ 明朝" w:hint="eastAsia"/>
          <w:sz w:val="24"/>
          <w:szCs w:val="24"/>
        </w:rPr>
        <w:t>、東西</w:t>
      </w:r>
      <w:r>
        <w:rPr>
          <w:rFonts w:ascii="ＭＳ 明朝" w:eastAsia="ＭＳ 明朝" w:hAnsi="ＭＳ 明朝" w:hint="eastAsia"/>
          <w:sz w:val="24"/>
          <w:szCs w:val="24"/>
        </w:rPr>
        <w:t>は個人住宅・集合住宅</w:t>
      </w:r>
      <w:r w:rsidR="009C2C60">
        <w:rPr>
          <w:rFonts w:ascii="ＭＳ 明朝" w:eastAsia="ＭＳ 明朝" w:hAnsi="ＭＳ 明朝" w:hint="eastAsia"/>
          <w:sz w:val="24"/>
          <w:szCs w:val="24"/>
        </w:rPr>
        <w:t>と接しています</w:t>
      </w:r>
      <w:r>
        <w:rPr>
          <w:rFonts w:ascii="ＭＳ 明朝" w:eastAsia="ＭＳ 明朝" w:hAnsi="ＭＳ 明朝" w:hint="eastAsia"/>
          <w:sz w:val="24"/>
          <w:szCs w:val="24"/>
        </w:rPr>
        <w:t>。用途地域は準工業地域に指定されています。</w:t>
      </w:r>
    </w:p>
    <w:p w:rsidR="005F53A1" w:rsidRDefault="005F53A1" w:rsidP="005F53A1">
      <w:pPr>
        <w:rPr>
          <w:rFonts w:ascii="ＭＳ 明朝" w:eastAsia="ＭＳ 明朝" w:hAnsi="ＭＳ 明朝"/>
          <w:sz w:val="24"/>
          <w:szCs w:val="24"/>
        </w:rPr>
      </w:pPr>
    </w:p>
    <w:p w:rsidR="005F53A1" w:rsidRPr="008C31DA" w:rsidRDefault="005F53A1" w:rsidP="00E51F5A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C31DA">
        <w:rPr>
          <w:rFonts w:ascii="ＭＳ 明朝" w:eastAsia="ＭＳ 明朝" w:hAnsi="ＭＳ 明朝" w:hint="eastAsia"/>
          <w:sz w:val="24"/>
          <w:szCs w:val="24"/>
        </w:rPr>
        <w:t>当該都市計画の規模の妥当性について</w:t>
      </w:r>
    </w:p>
    <w:p w:rsidR="008C31DA" w:rsidRDefault="008C31DA" w:rsidP="008C31DA">
      <w:pPr>
        <w:pStyle w:val="a3"/>
        <w:ind w:leftChars="0" w:left="70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事業用地の面積は</w:t>
      </w:r>
      <w:r w:rsidR="004D4B41">
        <w:rPr>
          <w:rFonts w:ascii="ＭＳ 明朝" w:eastAsia="ＭＳ 明朝" w:hAnsi="ＭＳ 明朝" w:hint="eastAsia"/>
          <w:sz w:val="24"/>
          <w:szCs w:val="24"/>
        </w:rPr>
        <w:t>約</w:t>
      </w:r>
      <w:r w:rsidR="00460953">
        <w:rPr>
          <w:rFonts w:ascii="ＭＳ 明朝" w:eastAsia="ＭＳ 明朝" w:hAnsi="ＭＳ 明朝" w:hint="eastAsia"/>
          <w:sz w:val="24"/>
          <w:szCs w:val="24"/>
        </w:rPr>
        <w:t>３，６９０</w:t>
      </w:r>
      <w:r>
        <w:rPr>
          <w:rFonts w:ascii="ＭＳ 明朝" w:eastAsia="ＭＳ 明朝" w:hAnsi="ＭＳ 明朝" w:hint="eastAsia"/>
          <w:sz w:val="24"/>
          <w:szCs w:val="24"/>
        </w:rPr>
        <w:t>ｍ</w:t>
      </w:r>
      <w:r w:rsidRPr="008C31DA">
        <w:rPr>
          <w:rFonts w:ascii="ＭＳ 明朝" w:eastAsia="ＭＳ 明朝" w:hAnsi="ＭＳ 明朝" w:hint="eastAsia"/>
          <w:sz w:val="24"/>
          <w:szCs w:val="24"/>
          <w:vertAlign w:val="superscript"/>
        </w:rPr>
        <w:t>２</w:t>
      </w:r>
      <w:r w:rsidR="00B2246C">
        <w:rPr>
          <w:rFonts w:ascii="ＭＳ 明朝" w:eastAsia="ＭＳ 明朝" w:hAnsi="ＭＳ 明朝" w:hint="eastAsia"/>
          <w:sz w:val="24"/>
          <w:szCs w:val="24"/>
        </w:rPr>
        <w:t>、</w:t>
      </w:r>
      <w:r w:rsidR="001B4A6C">
        <w:rPr>
          <w:rFonts w:ascii="ＭＳ 明朝" w:eastAsia="ＭＳ 明朝" w:hAnsi="ＭＳ 明朝" w:hint="eastAsia"/>
          <w:sz w:val="24"/>
          <w:szCs w:val="24"/>
        </w:rPr>
        <w:t>（仮称）不燃・粗大ごみ処理</w:t>
      </w:r>
      <w:r w:rsidR="00B2246C">
        <w:rPr>
          <w:rFonts w:ascii="ＭＳ 明朝" w:eastAsia="ＭＳ 明朝" w:hAnsi="ＭＳ 明朝" w:hint="eastAsia"/>
          <w:sz w:val="24"/>
          <w:szCs w:val="24"/>
        </w:rPr>
        <w:t>施設自体の</w:t>
      </w:r>
      <w:r w:rsidR="009C2C60">
        <w:rPr>
          <w:rFonts w:ascii="ＭＳ 明朝" w:eastAsia="ＭＳ 明朝" w:hAnsi="ＭＳ 明朝" w:hint="eastAsia"/>
          <w:sz w:val="24"/>
          <w:szCs w:val="24"/>
        </w:rPr>
        <w:t>建築</w:t>
      </w:r>
      <w:r w:rsidR="00B2246C">
        <w:rPr>
          <w:rFonts w:ascii="ＭＳ 明朝" w:eastAsia="ＭＳ 明朝" w:hAnsi="ＭＳ 明朝" w:hint="eastAsia"/>
          <w:sz w:val="24"/>
          <w:szCs w:val="24"/>
        </w:rPr>
        <w:t>面積は最大</w:t>
      </w:r>
      <w:r w:rsidR="001B4A6C">
        <w:rPr>
          <w:rFonts w:ascii="ＭＳ 明朝" w:eastAsia="ＭＳ 明朝" w:hAnsi="ＭＳ 明朝" w:hint="eastAsia"/>
          <w:sz w:val="24"/>
          <w:szCs w:val="24"/>
        </w:rPr>
        <w:t>約</w:t>
      </w:r>
      <w:r w:rsidR="007128AA">
        <w:rPr>
          <w:rFonts w:ascii="ＭＳ 明朝" w:eastAsia="ＭＳ 明朝" w:hAnsi="ＭＳ 明朝" w:hint="eastAsia"/>
          <w:sz w:val="24"/>
          <w:szCs w:val="24"/>
        </w:rPr>
        <w:t>２，０００</w:t>
      </w:r>
      <w:r w:rsidR="00B2246C">
        <w:rPr>
          <w:rFonts w:ascii="ＭＳ 明朝" w:eastAsia="ＭＳ 明朝" w:hAnsi="ＭＳ 明朝" w:hint="eastAsia"/>
          <w:sz w:val="24"/>
          <w:szCs w:val="24"/>
        </w:rPr>
        <w:t>ｍ</w:t>
      </w:r>
      <w:r w:rsidR="00B2246C" w:rsidRPr="008C31DA">
        <w:rPr>
          <w:rFonts w:ascii="ＭＳ 明朝" w:eastAsia="ＭＳ 明朝" w:hAnsi="ＭＳ 明朝" w:hint="eastAsia"/>
          <w:sz w:val="24"/>
          <w:szCs w:val="24"/>
          <w:vertAlign w:val="superscript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B5357A">
        <w:rPr>
          <w:rFonts w:ascii="ＭＳ 明朝" w:eastAsia="ＭＳ 明朝" w:hAnsi="ＭＳ 明朝" w:hint="eastAsia"/>
          <w:sz w:val="24"/>
          <w:szCs w:val="24"/>
        </w:rPr>
        <w:t>現有</w:t>
      </w:r>
      <w:r>
        <w:rPr>
          <w:rFonts w:ascii="ＭＳ 明朝" w:eastAsia="ＭＳ 明朝" w:hAnsi="ＭＳ 明朝" w:hint="eastAsia"/>
          <w:sz w:val="24"/>
          <w:szCs w:val="24"/>
        </w:rPr>
        <w:t>の粗大ごみ処理施設</w:t>
      </w:r>
      <w:r w:rsidR="005B132F">
        <w:rPr>
          <w:rFonts w:ascii="ＭＳ 明朝" w:eastAsia="ＭＳ 明朝" w:hAnsi="ＭＳ 明朝" w:hint="eastAsia"/>
          <w:sz w:val="24"/>
          <w:szCs w:val="24"/>
        </w:rPr>
        <w:t>と可燃性粗大ごみ置き場</w:t>
      </w:r>
      <w:r>
        <w:rPr>
          <w:rFonts w:ascii="ＭＳ 明朝" w:eastAsia="ＭＳ 明朝" w:hAnsi="ＭＳ 明朝" w:hint="eastAsia"/>
          <w:sz w:val="24"/>
          <w:szCs w:val="24"/>
        </w:rPr>
        <w:t>の面積</w:t>
      </w:r>
      <w:r w:rsidR="00CE234B">
        <w:rPr>
          <w:rFonts w:ascii="ＭＳ 明朝" w:eastAsia="ＭＳ 明朝" w:hAnsi="ＭＳ 明朝" w:hint="eastAsia"/>
          <w:sz w:val="24"/>
          <w:szCs w:val="24"/>
        </w:rPr>
        <w:t>約</w:t>
      </w:r>
      <w:r w:rsidR="00CE234B" w:rsidRPr="007128AA">
        <w:rPr>
          <w:rFonts w:ascii="ＭＳ 明朝" w:eastAsia="ＭＳ 明朝" w:hAnsi="ＭＳ 明朝" w:hint="eastAsia"/>
          <w:sz w:val="24"/>
          <w:szCs w:val="24"/>
        </w:rPr>
        <w:t>１，</w:t>
      </w:r>
      <w:r w:rsidR="007128AA">
        <w:rPr>
          <w:rFonts w:ascii="ＭＳ 明朝" w:eastAsia="ＭＳ 明朝" w:hAnsi="ＭＳ 明朝" w:hint="eastAsia"/>
          <w:sz w:val="24"/>
          <w:szCs w:val="24"/>
        </w:rPr>
        <w:t>２４０</w:t>
      </w:r>
      <w:r>
        <w:rPr>
          <w:rFonts w:ascii="ＭＳ 明朝" w:eastAsia="ＭＳ 明朝" w:hAnsi="ＭＳ 明朝" w:hint="eastAsia"/>
          <w:sz w:val="24"/>
          <w:szCs w:val="24"/>
        </w:rPr>
        <w:t>ｍ</w:t>
      </w:r>
      <w:r w:rsidRPr="008C31DA">
        <w:rPr>
          <w:rFonts w:ascii="ＭＳ 明朝" w:eastAsia="ＭＳ 明朝" w:hAnsi="ＭＳ 明朝" w:hint="eastAsia"/>
          <w:sz w:val="24"/>
          <w:szCs w:val="24"/>
          <w:vertAlign w:val="superscript"/>
        </w:rPr>
        <w:t>２</w:t>
      </w:r>
      <w:r w:rsidR="001B4A6C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す。</w:t>
      </w:r>
    </w:p>
    <w:p w:rsidR="00460953" w:rsidRDefault="00460953" w:rsidP="008C31DA">
      <w:pPr>
        <w:pStyle w:val="a3"/>
        <w:ind w:leftChars="0" w:left="70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３市の一般廃棄物処理基本計画より推計した施設整備の目標年度（平成３２年度）における処理対象ごみ量は、１６．２９ｔ／日</w:t>
      </w:r>
      <w:r w:rsidR="00DF444B">
        <w:rPr>
          <w:rFonts w:ascii="ＭＳ 明朝" w:eastAsia="ＭＳ 明朝" w:hAnsi="ＭＳ 明朝" w:hint="eastAsia"/>
          <w:sz w:val="24"/>
          <w:szCs w:val="24"/>
        </w:rPr>
        <w:t>です。これに、実稼働日数、月による変動を加味した</w:t>
      </w:r>
      <w:r w:rsidR="005B132F">
        <w:rPr>
          <w:rFonts w:ascii="ＭＳ 明朝" w:eastAsia="ＭＳ 明朝" w:hAnsi="ＭＳ 明朝" w:hint="eastAsia"/>
          <w:sz w:val="24"/>
          <w:szCs w:val="24"/>
        </w:rPr>
        <w:t>（仮称）不燃・粗大ごみ処理</w:t>
      </w:r>
      <w:r w:rsidR="00DF444B">
        <w:rPr>
          <w:rFonts w:ascii="ＭＳ 明朝" w:eastAsia="ＭＳ 明朝" w:hAnsi="ＭＳ 明朝" w:hint="eastAsia"/>
          <w:sz w:val="24"/>
          <w:szCs w:val="24"/>
        </w:rPr>
        <w:t>施設</w:t>
      </w:r>
      <w:r w:rsidR="005B132F">
        <w:rPr>
          <w:rFonts w:ascii="ＭＳ 明朝" w:eastAsia="ＭＳ 明朝" w:hAnsi="ＭＳ 明朝" w:hint="eastAsia"/>
          <w:sz w:val="24"/>
          <w:szCs w:val="24"/>
        </w:rPr>
        <w:t>の処理能力</w:t>
      </w:r>
      <w:r w:rsidR="00DF444B">
        <w:rPr>
          <w:rFonts w:ascii="ＭＳ 明朝" w:eastAsia="ＭＳ 明朝" w:hAnsi="ＭＳ 明朝" w:hint="eastAsia"/>
          <w:sz w:val="24"/>
          <w:szCs w:val="24"/>
        </w:rPr>
        <w:t>は</w:t>
      </w:r>
      <w:r w:rsidR="004D4B4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F444B">
        <w:rPr>
          <w:rFonts w:ascii="ＭＳ 明朝" w:eastAsia="ＭＳ 明朝" w:hAnsi="ＭＳ 明朝" w:hint="eastAsia"/>
          <w:sz w:val="24"/>
          <w:szCs w:val="24"/>
        </w:rPr>
        <w:t>２８ｔ／日（１日当り５時間運転を基本とする）で、</w:t>
      </w:r>
      <w:r w:rsidR="00B5357A">
        <w:rPr>
          <w:rFonts w:ascii="ＭＳ 明朝" w:eastAsia="ＭＳ 明朝" w:hAnsi="ＭＳ 明朝" w:hint="eastAsia"/>
          <w:sz w:val="24"/>
          <w:szCs w:val="24"/>
        </w:rPr>
        <w:t>現有</w:t>
      </w:r>
      <w:r w:rsidR="00DF444B">
        <w:rPr>
          <w:rFonts w:ascii="ＭＳ 明朝" w:eastAsia="ＭＳ 明朝" w:hAnsi="ＭＳ 明朝" w:hint="eastAsia"/>
          <w:sz w:val="24"/>
          <w:szCs w:val="24"/>
        </w:rPr>
        <w:t>の粗大ごみ処理施設</w:t>
      </w:r>
      <w:r w:rsidR="00DF444B">
        <w:rPr>
          <w:rFonts w:ascii="ＭＳ 明朝" w:eastAsia="ＭＳ 明朝" w:hAnsi="ＭＳ 明朝" w:hint="eastAsia"/>
          <w:sz w:val="24"/>
          <w:szCs w:val="24"/>
        </w:rPr>
        <w:lastRenderedPageBreak/>
        <w:t>の処理能力７５ｔ／５時間の</w:t>
      </w:r>
      <w:r w:rsidR="005B132F" w:rsidRPr="007128AA">
        <w:rPr>
          <w:rFonts w:ascii="ＭＳ 明朝" w:eastAsia="ＭＳ 明朝" w:hAnsi="ＭＳ 明朝" w:hint="eastAsia"/>
          <w:sz w:val="24"/>
          <w:szCs w:val="24"/>
        </w:rPr>
        <w:t>２分の１以下</w:t>
      </w:r>
      <w:r w:rsidR="00DF444B">
        <w:rPr>
          <w:rFonts w:ascii="ＭＳ 明朝" w:eastAsia="ＭＳ 明朝" w:hAnsi="ＭＳ 明朝" w:hint="eastAsia"/>
          <w:sz w:val="24"/>
          <w:szCs w:val="24"/>
        </w:rPr>
        <w:t>です。</w:t>
      </w:r>
    </w:p>
    <w:p w:rsidR="00CE234B" w:rsidRDefault="005B132F" w:rsidP="008C31DA">
      <w:pPr>
        <w:pStyle w:val="a3"/>
        <w:ind w:leftChars="0" w:left="70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（仮称）不燃・粗大ごみ処理施設では、これまで</w:t>
      </w:r>
      <w:r w:rsidR="009C2C60">
        <w:rPr>
          <w:rFonts w:ascii="ＭＳ 明朝" w:eastAsia="ＭＳ 明朝" w:hAnsi="ＭＳ 明朝" w:hint="eastAsia"/>
          <w:sz w:val="24"/>
          <w:szCs w:val="24"/>
        </w:rPr>
        <w:t>場内で</w:t>
      </w:r>
      <w:r>
        <w:rPr>
          <w:rFonts w:ascii="ＭＳ 明朝" w:eastAsia="ＭＳ 明朝" w:hAnsi="ＭＳ 明朝" w:hint="eastAsia"/>
          <w:sz w:val="24"/>
          <w:szCs w:val="24"/>
        </w:rPr>
        <w:t>分散し</w:t>
      </w:r>
      <w:r w:rsidR="009C2C60">
        <w:rPr>
          <w:rFonts w:ascii="ＭＳ 明朝" w:eastAsia="ＭＳ 明朝" w:hAnsi="ＭＳ 明朝" w:hint="eastAsia"/>
          <w:sz w:val="24"/>
          <w:szCs w:val="24"/>
        </w:rPr>
        <w:t>、露天で貯蔵し別処理せざるを得なかった</w:t>
      </w:r>
      <w:r>
        <w:rPr>
          <w:rFonts w:ascii="ＭＳ 明朝" w:eastAsia="ＭＳ 明朝" w:hAnsi="ＭＳ 明朝" w:hint="eastAsia"/>
          <w:sz w:val="24"/>
          <w:szCs w:val="24"/>
        </w:rPr>
        <w:t>可燃性粗大ごみや、小型家電</w:t>
      </w:r>
      <w:r w:rsidR="009C2C60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置き場を集約することに加え、新たに手選別ラインを設置することにより、小型家電の資源化や危険物・有害物の除去</w:t>
      </w:r>
      <w:r w:rsidR="00B2246C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可能と</w:t>
      </w:r>
      <w:r w:rsidR="00B2246C">
        <w:rPr>
          <w:rFonts w:ascii="ＭＳ 明朝" w:eastAsia="ＭＳ 明朝" w:hAnsi="ＭＳ 明朝" w:hint="eastAsia"/>
          <w:sz w:val="24"/>
          <w:szCs w:val="24"/>
        </w:rPr>
        <w:t>なります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CE09C1" w:rsidRPr="00CE09C1" w:rsidRDefault="00B2246C" w:rsidP="00CE09C1">
      <w:pPr>
        <w:pStyle w:val="a3"/>
        <w:ind w:leftChars="0" w:left="70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CE09C1">
        <w:rPr>
          <w:rFonts w:ascii="ＭＳ 明朝" w:eastAsia="ＭＳ 明朝" w:hAnsi="ＭＳ 明朝" w:hint="eastAsia"/>
          <w:sz w:val="24"/>
          <w:szCs w:val="24"/>
        </w:rPr>
        <w:t>小平市福祉のまちづくり条例等の考え方を適用した</w:t>
      </w:r>
      <w:r>
        <w:rPr>
          <w:rFonts w:ascii="ＭＳ 明朝" w:eastAsia="ＭＳ 明朝" w:hAnsi="ＭＳ 明朝" w:hint="eastAsia"/>
          <w:sz w:val="24"/>
          <w:szCs w:val="24"/>
        </w:rPr>
        <w:t>見学者用</w:t>
      </w:r>
      <w:r w:rsidR="00CE09C1">
        <w:rPr>
          <w:rFonts w:ascii="ＭＳ 明朝" w:eastAsia="ＭＳ 明朝" w:hAnsi="ＭＳ 明朝" w:hint="eastAsia"/>
          <w:sz w:val="24"/>
          <w:szCs w:val="24"/>
        </w:rPr>
        <w:t>のエリアも新たに整備する予定であることより、妥当な事業用地面積と考えます。</w:t>
      </w:r>
    </w:p>
    <w:sectPr w:rsidR="00CE09C1" w:rsidRPr="00CE09C1" w:rsidSect="00C84ED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66A"/>
    <w:multiLevelType w:val="hybridMultilevel"/>
    <w:tmpl w:val="D2BE5146"/>
    <w:lvl w:ilvl="0" w:tplc="30DA8B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8D3DB8"/>
    <w:multiLevelType w:val="hybridMultilevel"/>
    <w:tmpl w:val="32AAFE28"/>
    <w:lvl w:ilvl="0" w:tplc="CD4A15B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A1"/>
    <w:rsid w:val="00011CE4"/>
    <w:rsid w:val="00037EF7"/>
    <w:rsid w:val="00076045"/>
    <w:rsid w:val="00080DE1"/>
    <w:rsid w:val="00197D0C"/>
    <w:rsid w:val="001A2514"/>
    <w:rsid w:val="001B4A6C"/>
    <w:rsid w:val="001E5F72"/>
    <w:rsid w:val="00217D7F"/>
    <w:rsid w:val="002326E2"/>
    <w:rsid w:val="002D36F9"/>
    <w:rsid w:val="0032664A"/>
    <w:rsid w:val="003534B8"/>
    <w:rsid w:val="003668A9"/>
    <w:rsid w:val="003E1DDF"/>
    <w:rsid w:val="003F584E"/>
    <w:rsid w:val="00460953"/>
    <w:rsid w:val="004656BD"/>
    <w:rsid w:val="00477158"/>
    <w:rsid w:val="004D4B41"/>
    <w:rsid w:val="004F5CB0"/>
    <w:rsid w:val="00536B5F"/>
    <w:rsid w:val="005806F3"/>
    <w:rsid w:val="00595EAD"/>
    <w:rsid w:val="005B132F"/>
    <w:rsid w:val="005E689C"/>
    <w:rsid w:val="005F53A1"/>
    <w:rsid w:val="00630A46"/>
    <w:rsid w:val="007128AA"/>
    <w:rsid w:val="00730214"/>
    <w:rsid w:val="00733E10"/>
    <w:rsid w:val="0074353B"/>
    <w:rsid w:val="007B4BCA"/>
    <w:rsid w:val="007E5B04"/>
    <w:rsid w:val="00806113"/>
    <w:rsid w:val="00815575"/>
    <w:rsid w:val="008737E8"/>
    <w:rsid w:val="00897D8E"/>
    <w:rsid w:val="008C31DA"/>
    <w:rsid w:val="00944415"/>
    <w:rsid w:val="00974D60"/>
    <w:rsid w:val="009C2C60"/>
    <w:rsid w:val="009D1312"/>
    <w:rsid w:val="00A81B52"/>
    <w:rsid w:val="00A8778F"/>
    <w:rsid w:val="00B10BF4"/>
    <w:rsid w:val="00B1190F"/>
    <w:rsid w:val="00B2246C"/>
    <w:rsid w:val="00B24211"/>
    <w:rsid w:val="00B5357A"/>
    <w:rsid w:val="00BA52DF"/>
    <w:rsid w:val="00BB6B99"/>
    <w:rsid w:val="00BC0AF0"/>
    <w:rsid w:val="00BE4606"/>
    <w:rsid w:val="00BF109F"/>
    <w:rsid w:val="00C40AEA"/>
    <w:rsid w:val="00C57EFC"/>
    <w:rsid w:val="00C84ED5"/>
    <w:rsid w:val="00CC598D"/>
    <w:rsid w:val="00CE09C1"/>
    <w:rsid w:val="00CE234B"/>
    <w:rsid w:val="00D333C7"/>
    <w:rsid w:val="00D35CDE"/>
    <w:rsid w:val="00D36D5E"/>
    <w:rsid w:val="00D37264"/>
    <w:rsid w:val="00D60A19"/>
    <w:rsid w:val="00D62B02"/>
    <w:rsid w:val="00D7309B"/>
    <w:rsid w:val="00DA71AE"/>
    <w:rsid w:val="00DF444B"/>
    <w:rsid w:val="00E51F5A"/>
    <w:rsid w:val="00EA218F"/>
    <w:rsid w:val="00F01F61"/>
    <w:rsid w:val="00F55EDB"/>
    <w:rsid w:val="00F563E0"/>
    <w:rsid w:val="00FC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1A642"/>
  <w15:chartTrackingRefBased/>
  <w15:docId w15:val="{45E3807A-415C-4026-9D59-9F8595F2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1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190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6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eisei16</dc:creator>
  <cp:keywords/>
  <dc:description/>
  <cp:lastModifiedBy>eisei16</cp:lastModifiedBy>
  <cp:revision>4</cp:revision>
  <cp:lastPrinted>2017-06-01T08:56:00Z</cp:lastPrinted>
  <dcterms:created xsi:type="dcterms:W3CDTF">2017-06-05T03:05:00Z</dcterms:created>
  <dcterms:modified xsi:type="dcterms:W3CDTF">2017-06-06T01:47:00Z</dcterms:modified>
</cp:coreProperties>
</file>